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INFORMACJA 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Style w:val="Pogrubienie"/>
          <w:rFonts w:ascii="Roboto" w:hAnsi="Roboto" w:cs="Arial"/>
          <w:color w:val="333333"/>
          <w:sz w:val="20"/>
          <w:szCs w:val="20"/>
        </w:rPr>
        <w:t>o przepisach dotyczących równego traktowania w zatrudnieniu</w:t>
      </w:r>
    </w:p>
    <w:p w:rsidR="00FC267A" w:rsidRDefault="00FC267A" w:rsidP="00FC267A">
      <w:pPr>
        <w:pStyle w:val="NormalnyWeb"/>
        <w:shd w:val="clear" w:color="auto" w:fill="FFFFFF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Generalna zasada równych </w:t>
      </w:r>
      <w:proofErr w:type="gramStart"/>
      <w:r>
        <w:rPr>
          <w:rStyle w:val="Pogrubienie"/>
          <w:rFonts w:ascii="Roboto" w:hAnsi="Roboto" w:cs="Arial"/>
          <w:color w:val="333333"/>
          <w:sz w:val="20"/>
          <w:szCs w:val="20"/>
        </w:rPr>
        <w:t>praw</w:t>
      </w:r>
      <w:proofErr w:type="gramEnd"/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 kobiet i mężczyzn zawarta jest w art. 33 Konstytucji Rzeczypospolitej Polskiej z dnia 2 kwietnia 1997 r. (Dz. U. Nr 78, poz. 483 ze zm., </w:t>
      </w:r>
      <w:proofErr w:type="spellStart"/>
      <w:r>
        <w:rPr>
          <w:rStyle w:val="Pogrubienie"/>
          <w:rFonts w:ascii="Roboto" w:hAnsi="Roboto" w:cs="Arial"/>
          <w:color w:val="333333"/>
          <w:sz w:val="20"/>
          <w:szCs w:val="20"/>
        </w:rPr>
        <w:t>sprost</w:t>
      </w:r>
      <w:proofErr w:type="spellEnd"/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. Dz. U. z 2001 r. Nr 28, </w:t>
      </w:r>
      <w:proofErr w:type="gramStart"/>
      <w:r>
        <w:rPr>
          <w:rStyle w:val="Pogrubienie"/>
          <w:rFonts w:ascii="Roboto" w:hAnsi="Roboto" w:cs="Arial"/>
          <w:color w:val="333333"/>
          <w:sz w:val="20"/>
          <w:szCs w:val="20"/>
        </w:rPr>
        <w:t>poz. 319) :</w:t>
      </w:r>
      <w:proofErr w:type="gramEnd"/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Art. 33</w:t>
      </w:r>
    </w:p>
    <w:p w:rsidR="00FC267A" w:rsidRDefault="00FC267A" w:rsidP="00FC267A">
      <w:pPr>
        <w:pStyle w:val="NormalnyWeb"/>
        <w:shd w:val="clear" w:color="auto" w:fill="FFFFFF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1. Kobieta i mężczyzna w Rzeczypospolitej Polskiej mają równe prawa w życiu rodzinnym, politycznym, społecznym i gospodarczym.</w:t>
      </w:r>
      <w:r>
        <w:rPr>
          <w:rFonts w:ascii="Roboto" w:hAnsi="Roboto" w:cs="Arial"/>
          <w:color w:val="333333"/>
          <w:sz w:val="20"/>
          <w:szCs w:val="20"/>
        </w:rPr>
        <w:br/>
        <w:t>2. Kobieta i mężczyzna mają w szczególności równe prawa do kształcenia, zatrudnienia i awansów, do jednakowego wynagrodzenia za pracę jednakowej wartości, do zabezpieczenia społecznego oraz do zajmowania stanowisk, pełnienia funkcji oraz uzyskiwania godności publicznych i odznaczeń.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Szczegółowe rozwiązania prawne w zakresie obowiązku równego traktowania kobiet i mężczyzn w zatrudnieniu oraz zakaz stosowania praktyk dyskryminacyjnych wynikają z podstawowych zasad prawa pracy zawartych w art. 11</w:t>
      </w:r>
      <w:r>
        <w:rPr>
          <w:rFonts w:ascii="Roboto" w:hAnsi="Roboto" w:cs="Arial"/>
          <w:color w:val="333333"/>
          <w:sz w:val="15"/>
          <w:szCs w:val="15"/>
          <w:vertAlign w:val="superscript"/>
        </w:rPr>
        <w:t>2</w:t>
      </w:r>
      <w:r>
        <w:rPr>
          <w:rFonts w:ascii="Roboto" w:hAnsi="Roboto" w:cs="Arial"/>
          <w:color w:val="333333"/>
          <w:sz w:val="20"/>
          <w:szCs w:val="20"/>
        </w:rPr>
        <w:t xml:space="preserve"> i art. 11</w:t>
      </w:r>
      <w:r>
        <w:rPr>
          <w:rFonts w:ascii="Roboto" w:hAnsi="Roboto" w:cs="Arial"/>
          <w:color w:val="333333"/>
          <w:sz w:val="15"/>
          <w:szCs w:val="15"/>
          <w:vertAlign w:val="superscript"/>
        </w:rPr>
        <w:t>3</w:t>
      </w:r>
      <w:r>
        <w:rPr>
          <w:rFonts w:ascii="Roboto" w:hAnsi="Roboto" w:cs="Arial"/>
          <w:color w:val="333333"/>
          <w:sz w:val="20"/>
          <w:szCs w:val="20"/>
        </w:rPr>
        <w:t xml:space="preserve"> Kodeksu pracy:</w:t>
      </w:r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Art. 11</w:t>
      </w:r>
      <w:r>
        <w:rPr>
          <w:rStyle w:val="Pogrubienie"/>
          <w:rFonts w:ascii="Roboto" w:hAnsi="Roboto" w:cs="Arial"/>
          <w:color w:val="333333"/>
          <w:sz w:val="15"/>
          <w:szCs w:val="15"/>
          <w:vertAlign w:val="superscript"/>
        </w:rPr>
        <w:t>2</w:t>
      </w:r>
      <w:r>
        <w:rPr>
          <w:rFonts w:ascii="Roboto" w:hAnsi="Roboto" w:cs="Arial"/>
          <w:color w:val="333333"/>
          <w:sz w:val="20"/>
          <w:szCs w:val="20"/>
        </w:rPr>
        <w:br/>
        <w:t>(równe prawa pracowników)</w:t>
      </w:r>
    </w:p>
    <w:p w:rsid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Pracownicy mają równe prawa z tytułu jednakowego wypełniania takich samych obowiązków; dotyczy to w szczególności równego traktowania kobiet i mężczyzn w zatrudnieniu.</w:t>
      </w:r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Art. 11</w:t>
      </w:r>
      <w:r>
        <w:rPr>
          <w:rStyle w:val="Pogrubienie"/>
          <w:rFonts w:ascii="Roboto" w:hAnsi="Roboto" w:cs="Arial"/>
          <w:color w:val="333333"/>
          <w:sz w:val="15"/>
          <w:szCs w:val="15"/>
          <w:vertAlign w:val="superscript"/>
        </w:rPr>
        <w:t>3</w:t>
      </w:r>
      <w:r>
        <w:rPr>
          <w:rFonts w:ascii="Roboto" w:hAnsi="Roboto" w:cs="Arial"/>
          <w:color w:val="333333"/>
          <w:sz w:val="20"/>
          <w:szCs w:val="20"/>
        </w:rPr>
        <w:br/>
        <w:t>(zakaz dyskryminacji)</w:t>
      </w:r>
    </w:p>
    <w:p w:rsid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niepełnym wymiarze czasu pracy – jest niedopuszczalna.</w:t>
      </w:r>
      <w:r>
        <w:rPr>
          <w:rFonts w:ascii="Roboto" w:hAnsi="Roboto" w:cs="Arial"/>
          <w:color w:val="333333"/>
          <w:sz w:val="20"/>
          <w:szCs w:val="20"/>
        </w:rPr>
        <w:br/>
      </w:r>
    </w:p>
    <w:p w:rsidR="00FC267A" w:rsidRP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Zakres stosowania obu wyżej wymienionych zasad prawa pracy został szczegółowo uregulowany w rozdziale </w:t>
      </w:r>
      <w:proofErr w:type="spellStart"/>
      <w:r>
        <w:rPr>
          <w:rStyle w:val="Pogrubienie"/>
          <w:rFonts w:ascii="Roboto" w:hAnsi="Roboto" w:cs="Arial"/>
          <w:color w:val="333333"/>
          <w:sz w:val="20"/>
          <w:szCs w:val="20"/>
        </w:rPr>
        <w:t>IIa</w:t>
      </w:r>
      <w:proofErr w:type="spellEnd"/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 Kodeksu pracy – Równe traktowanie w zatrudnieniu:</w:t>
      </w:r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Art. 18</w:t>
      </w:r>
      <w:r>
        <w:rPr>
          <w:rStyle w:val="Pogrubienie"/>
          <w:rFonts w:ascii="Roboto" w:hAnsi="Roboto" w:cs="Arial"/>
          <w:color w:val="333333"/>
          <w:sz w:val="15"/>
          <w:szCs w:val="15"/>
          <w:vertAlign w:val="superscript"/>
        </w:rPr>
        <w:t>3a</w:t>
      </w:r>
      <w:r>
        <w:rPr>
          <w:rFonts w:ascii="Roboto" w:hAnsi="Roboto" w:cs="Arial"/>
          <w:color w:val="333333"/>
          <w:sz w:val="20"/>
          <w:szCs w:val="20"/>
        </w:rPr>
        <w:br/>
        <w:t>(zakaz dyskryminacji)</w:t>
      </w:r>
    </w:p>
    <w:p w:rsidR="00FC267A" w:rsidRDefault="00FC267A" w:rsidP="00FC267A">
      <w:pPr>
        <w:pStyle w:val="NormalnyWeb"/>
        <w:shd w:val="clear" w:color="auto" w:fill="FFFFFF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 xml:space="preserve">§ 1. Pracownicy powinni być równo traktowani w zakresie nawiązania i rozwiązania stosunku pracy, warunków zatrudnienia, awansowania oraz dostępu do szkolenia w celu podnoszenia kwalifikacji zawodowych, w szczególności </w:t>
      </w:r>
      <w:proofErr w:type="spellStart"/>
      <w:r>
        <w:rPr>
          <w:rFonts w:ascii="Roboto" w:hAnsi="Roboto" w:cs="Arial"/>
          <w:color w:val="333333"/>
          <w:sz w:val="20"/>
          <w:szCs w:val="20"/>
        </w:rPr>
        <w:t>bez</w:t>
      </w:r>
      <w:proofErr w:type="spellEnd"/>
      <w:r>
        <w:rPr>
          <w:rFonts w:ascii="Roboto" w:hAnsi="Roboto" w:cs="Arial"/>
          <w:color w:val="333333"/>
          <w:sz w:val="20"/>
          <w:szCs w:val="20"/>
        </w:rPr>
        <w:t xml:space="preserve"> względu na płeć, wiek, niepełnosprawność, rasę, religię, narodowość, przekonania polityczne, </w:t>
      </w:r>
      <w:r>
        <w:rPr>
          <w:rFonts w:ascii="Roboto" w:hAnsi="Roboto" w:cs="Arial"/>
          <w:color w:val="333333"/>
          <w:sz w:val="20"/>
          <w:szCs w:val="20"/>
        </w:rPr>
        <w:lastRenderedPageBreak/>
        <w:t xml:space="preserve">przynależność związkową, pochodzenie etniczne, wyznanie, orientację seksualną, a także </w:t>
      </w:r>
      <w:proofErr w:type="spellStart"/>
      <w:r>
        <w:rPr>
          <w:rFonts w:ascii="Roboto" w:hAnsi="Roboto" w:cs="Arial"/>
          <w:color w:val="333333"/>
          <w:sz w:val="20"/>
          <w:szCs w:val="20"/>
        </w:rPr>
        <w:t>bez</w:t>
      </w:r>
      <w:proofErr w:type="spellEnd"/>
      <w:r>
        <w:rPr>
          <w:rFonts w:ascii="Roboto" w:hAnsi="Roboto" w:cs="Arial"/>
          <w:color w:val="333333"/>
          <w:sz w:val="20"/>
          <w:szCs w:val="20"/>
        </w:rPr>
        <w:t xml:space="preserve"> względu na zatrudnienie na czas określony lub nieokreślony albo w pełnym lub niepełnym wymiarze czasu pracy.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§ 2. Równe traktowanie w zatrudnieniu oznacza niedyskryminowanie w jakikolwiek sposób, bezpośrednio lub pośrednio, z przyczyn określonych w § 1.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§ 3. Dyskryminowanie bezpośrednie istnieje wtedy, gdy pracownik z jednej lub z kilku przyczyn określonych w § 1 był, jest lub mógłby być traktowany w porównywalnej sytuacji mniej korzystnie niż inni pracownicy.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 xml:space="preserve">§ 4. 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</w:t>
      </w:r>
      <w:proofErr w:type="gramStart"/>
      <w:r>
        <w:rPr>
          <w:rFonts w:ascii="Roboto" w:hAnsi="Roboto" w:cs="Arial"/>
          <w:color w:val="333333"/>
          <w:sz w:val="20"/>
          <w:szCs w:val="20"/>
        </w:rPr>
        <w:t>chyba że</w:t>
      </w:r>
      <w:proofErr w:type="gramEnd"/>
      <w:r>
        <w:rPr>
          <w:rFonts w:ascii="Roboto" w:hAnsi="Roboto" w:cs="Arial"/>
          <w:color w:val="333333"/>
          <w:sz w:val="20"/>
          <w:szCs w:val="20"/>
        </w:rPr>
        <w:t xml:space="preserve"> postanowienie, kryterium lub działanie jest obiektywnie uzasadnione ze względu na zgodny z prawem cel, który ma być osiągnięty, a środki służące osiągnięciu tego celu są właściwe i konieczne.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§ 5. Przejawem dyskryminowania w rozumieniu § 2 jest także</w:t>
      </w:r>
      <w:proofErr w:type="gramStart"/>
      <w:r>
        <w:rPr>
          <w:rFonts w:ascii="Roboto" w:hAnsi="Roboto" w:cs="Arial"/>
          <w:color w:val="333333"/>
          <w:sz w:val="20"/>
          <w:szCs w:val="20"/>
        </w:rPr>
        <w:t>:</w:t>
      </w:r>
      <w:r>
        <w:rPr>
          <w:rFonts w:ascii="Roboto" w:hAnsi="Roboto" w:cs="Arial"/>
          <w:color w:val="333333"/>
          <w:sz w:val="20"/>
          <w:szCs w:val="20"/>
        </w:rPr>
        <w:br/>
        <w:t>1) działanie</w:t>
      </w:r>
      <w:proofErr w:type="gramEnd"/>
      <w:r>
        <w:rPr>
          <w:rFonts w:ascii="Roboto" w:hAnsi="Roboto" w:cs="Arial"/>
          <w:color w:val="333333"/>
          <w:sz w:val="20"/>
          <w:szCs w:val="20"/>
        </w:rPr>
        <w:t xml:space="preserve"> polegające na zachęcaniu innej osoby do naruszenia zasady równego traktowania w zatrudnieniu lub nakazaniu jej naruszenia tej zasady,</w:t>
      </w:r>
      <w:r>
        <w:rPr>
          <w:rFonts w:ascii="Roboto" w:hAnsi="Roboto" w:cs="Arial"/>
          <w:color w:val="333333"/>
          <w:sz w:val="20"/>
          <w:szCs w:val="20"/>
        </w:rPr>
        <w:br/>
        <w:t>2) niepożądane zachowanie, którego celem lub skutkiem jest naruszenie godności pracownika i stworzenie wobec niego zastraszającej, wrogiej, poniżającej, upokarzającej lub uwłaczającej atmosfery (molestowanie).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§ 6. 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§ 7.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</w:r>
    </w:p>
    <w:p w:rsidR="00FC267A" w:rsidRDefault="00FC267A" w:rsidP="00FC267A">
      <w:pPr>
        <w:pStyle w:val="NormalnyWeb"/>
        <w:shd w:val="clear" w:color="auto" w:fill="FFFFFF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 </w:t>
      </w:r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lastRenderedPageBreak/>
        <w:t>Art. 18</w:t>
      </w:r>
      <w:r>
        <w:rPr>
          <w:rStyle w:val="Pogrubienie"/>
          <w:rFonts w:ascii="Roboto" w:hAnsi="Roboto" w:cs="Arial"/>
          <w:color w:val="333333"/>
          <w:sz w:val="15"/>
          <w:szCs w:val="15"/>
          <w:vertAlign w:val="superscript"/>
        </w:rPr>
        <w:t>3b</w:t>
      </w:r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 </w:t>
      </w:r>
      <w:r>
        <w:rPr>
          <w:rFonts w:ascii="Roboto" w:hAnsi="Roboto" w:cs="Arial"/>
          <w:color w:val="333333"/>
          <w:sz w:val="20"/>
          <w:szCs w:val="20"/>
        </w:rPr>
        <w:br/>
        <w:t>(naruszenie zasady równego traktowania)</w:t>
      </w:r>
    </w:p>
    <w:p w:rsidR="00FC267A" w:rsidRDefault="00FC267A" w:rsidP="00FC267A">
      <w:pPr>
        <w:pStyle w:val="NormalnyWeb"/>
        <w:shd w:val="clear" w:color="auto" w:fill="FFFFFF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§ 1. Za naruszenie zasady równego traktowania w zatrudnieniu, z zastrzeżeniem § 2 – 4, uważa się różnicowanie przez pracodawcę sytuacji pracownika z jednej lub kilku przyczyn określonych w art. 18</w:t>
      </w:r>
      <w:r>
        <w:rPr>
          <w:rFonts w:ascii="Roboto" w:hAnsi="Roboto" w:cs="Arial"/>
          <w:color w:val="333333"/>
          <w:sz w:val="15"/>
          <w:szCs w:val="15"/>
          <w:vertAlign w:val="superscript"/>
        </w:rPr>
        <w:t>3a</w:t>
      </w:r>
      <w:r>
        <w:rPr>
          <w:rFonts w:ascii="Roboto" w:hAnsi="Roboto" w:cs="Arial"/>
          <w:color w:val="333333"/>
          <w:sz w:val="20"/>
          <w:szCs w:val="20"/>
        </w:rPr>
        <w:t xml:space="preserve"> § 1, którego skutkiem jest w szczególności</w:t>
      </w:r>
      <w:proofErr w:type="gramStart"/>
      <w:r>
        <w:rPr>
          <w:rFonts w:ascii="Roboto" w:hAnsi="Roboto" w:cs="Arial"/>
          <w:color w:val="333333"/>
          <w:sz w:val="20"/>
          <w:szCs w:val="20"/>
        </w:rPr>
        <w:t>: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1) odmowa</w:t>
      </w:r>
      <w:proofErr w:type="gramEnd"/>
      <w:r>
        <w:rPr>
          <w:rFonts w:ascii="Roboto" w:hAnsi="Roboto" w:cs="Arial"/>
          <w:color w:val="333333"/>
          <w:sz w:val="20"/>
          <w:szCs w:val="20"/>
        </w:rPr>
        <w:t xml:space="preserve"> nawiązania lub rozwiązania stosunku pracy,</w:t>
      </w:r>
      <w:r>
        <w:rPr>
          <w:rFonts w:ascii="Roboto" w:hAnsi="Roboto" w:cs="Arial"/>
          <w:color w:val="333333"/>
          <w:sz w:val="20"/>
          <w:szCs w:val="20"/>
        </w:rPr>
        <w:br/>
        <w:t>2) niekorzystne ukształtowanie wynagrodzenia za pracę lub innych warunków zatrudnienia albo pominięcie przy awansowaniu lub przyznawaniu innych świadczeń związanych z pracą,</w:t>
      </w:r>
      <w:r>
        <w:rPr>
          <w:rFonts w:ascii="Roboto" w:hAnsi="Roboto" w:cs="Arial"/>
          <w:color w:val="333333"/>
          <w:sz w:val="20"/>
          <w:szCs w:val="20"/>
        </w:rPr>
        <w:br/>
        <w:t>3) pominięcie przy typowaniu do udziału w szkoleniach podnoszących kwalifikacje zawodowe – chyba, że pracodawca udowodni, że kierował się obiektywnymi powodami.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§ 2. Zasady równego traktowania w zatrudnieniu nie naruszają działania, proporcjonalnie do osiągnięcia zgodnego z prawem celu różnicowania sytuacji pracownika, polegające na</w:t>
      </w:r>
      <w:proofErr w:type="gramStart"/>
      <w:r>
        <w:rPr>
          <w:rFonts w:ascii="Roboto" w:hAnsi="Roboto" w:cs="Arial"/>
          <w:color w:val="333333"/>
          <w:sz w:val="20"/>
          <w:szCs w:val="20"/>
        </w:rPr>
        <w:t>: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1) niezatrudnianiu</w:t>
      </w:r>
      <w:proofErr w:type="gramEnd"/>
      <w:r>
        <w:rPr>
          <w:rFonts w:ascii="Roboto" w:hAnsi="Roboto" w:cs="Arial"/>
          <w:color w:val="333333"/>
          <w:sz w:val="20"/>
          <w:szCs w:val="20"/>
        </w:rPr>
        <w:t xml:space="preserve"> pracownika z jednej lub kilku przyczyn określonych w art. 18</w:t>
      </w:r>
      <w:r>
        <w:rPr>
          <w:rFonts w:ascii="Roboto" w:hAnsi="Roboto" w:cs="Arial"/>
          <w:color w:val="333333"/>
          <w:sz w:val="15"/>
          <w:szCs w:val="15"/>
          <w:vertAlign w:val="superscript"/>
        </w:rPr>
        <w:t>3a</w:t>
      </w:r>
      <w:r>
        <w:rPr>
          <w:rFonts w:ascii="Roboto" w:hAnsi="Roboto" w:cs="Arial"/>
          <w:color w:val="333333"/>
          <w:sz w:val="20"/>
          <w:szCs w:val="20"/>
        </w:rPr>
        <w:t xml:space="preserve"> § 1, jeżeli rodzaj pracy lub warunki jej wykonywania powodują, że przyczyna lub przyczyny wymienione w tym przepisie są rzeczywistym i decydującym wymaganiem zawodowym stawianym pracownikowi,</w:t>
      </w:r>
      <w:r>
        <w:rPr>
          <w:rFonts w:ascii="Roboto" w:hAnsi="Roboto" w:cs="Arial"/>
          <w:color w:val="333333"/>
          <w:sz w:val="20"/>
          <w:szCs w:val="20"/>
        </w:rPr>
        <w:br/>
        <w:t xml:space="preserve">2) wypowiedzeniu pracownikowi warunków zatrudnienia w zakresie wymiaru czasu pracy, jeżeli jest to uzasadnione przyczynami niedotyczącymi pracowników </w:t>
      </w:r>
      <w:proofErr w:type="spellStart"/>
      <w:r>
        <w:rPr>
          <w:rFonts w:ascii="Roboto" w:hAnsi="Roboto" w:cs="Arial"/>
          <w:color w:val="333333"/>
          <w:sz w:val="20"/>
          <w:szCs w:val="20"/>
        </w:rPr>
        <w:t>bez</w:t>
      </w:r>
      <w:proofErr w:type="spellEnd"/>
      <w:r>
        <w:rPr>
          <w:rFonts w:ascii="Roboto" w:hAnsi="Roboto" w:cs="Arial"/>
          <w:color w:val="333333"/>
          <w:sz w:val="20"/>
          <w:szCs w:val="20"/>
        </w:rPr>
        <w:t xml:space="preserve"> powoływania się na inną przyczynę lub inne przyczyny wymienione w art. 18</w:t>
      </w:r>
      <w:r>
        <w:rPr>
          <w:rFonts w:ascii="Roboto" w:hAnsi="Roboto" w:cs="Arial"/>
          <w:color w:val="333333"/>
          <w:sz w:val="15"/>
          <w:szCs w:val="15"/>
          <w:vertAlign w:val="superscript"/>
        </w:rPr>
        <w:t>3a</w:t>
      </w:r>
      <w:r>
        <w:rPr>
          <w:rFonts w:ascii="Roboto" w:hAnsi="Roboto" w:cs="Arial"/>
          <w:color w:val="333333"/>
          <w:sz w:val="20"/>
          <w:szCs w:val="20"/>
        </w:rPr>
        <w:t xml:space="preserve"> § 1,</w:t>
      </w:r>
      <w:r>
        <w:rPr>
          <w:rFonts w:ascii="Roboto" w:hAnsi="Roboto" w:cs="Arial"/>
          <w:color w:val="333333"/>
          <w:sz w:val="20"/>
          <w:szCs w:val="20"/>
        </w:rPr>
        <w:br/>
        <w:t>3) stosowaniu środków, które różnicują sytuację prawną pracownika, ze względu na ochronę rodzicielstwa lub niepełnosprawność,</w:t>
      </w:r>
      <w:r>
        <w:rPr>
          <w:rFonts w:ascii="Roboto" w:hAnsi="Roboto" w:cs="Arial"/>
          <w:color w:val="333333"/>
          <w:sz w:val="20"/>
          <w:szCs w:val="20"/>
        </w:rPr>
        <w:br/>
        <w:t xml:space="preserve">4) stosowaniu kryterium </w:t>
      </w:r>
      <w:proofErr w:type="gramStart"/>
      <w:r>
        <w:rPr>
          <w:rFonts w:ascii="Roboto" w:hAnsi="Roboto" w:cs="Arial"/>
          <w:color w:val="333333"/>
          <w:sz w:val="20"/>
          <w:szCs w:val="20"/>
        </w:rPr>
        <w:t>stażu</w:t>
      </w:r>
      <w:proofErr w:type="gramEnd"/>
      <w:r>
        <w:rPr>
          <w:rFonts w:ascii="Roboto" w:hAnsi="Roboto" w:cs="Arial"/>
          <w:color w:val="333333"/>
          <w:sz w:val="20"/>
          <w:szCs w:val="20"/>
        </w:rPr>
        <w:t xml:space="preserve"> pracy przy ustalaniu warunków zatrudnienia i zwalniania pracowników, zasad wynagradzania i awansowania oraz dostępu do szkolenia w celu podnoszenia kwalifikacji zawodowych, co uzasadnia odmienne traktowanie pracowników ze względu na wiek.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>§ 3. 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>
        <w:rPr>
          <w:rFonts w:ascii="Roboto" w:hAnsi="Roboto" w:cs="Arial"/>
          <w:color w:val="333333"/>
          <w:sz w:val="15"/>
          <w:szCs w:val="15"/>
          <w:vertAlign w:val="superscript"/>
        </w:rPr>
        <w:t>3a</w:t>
      </w:r>
      <w:r>
        <w:rPr>
          <w:rFonts w:ascii="Roboto" w:hAnsi="Roboto" w:cs="Arial"/>
          <w:color w:val="333333"/>
          <w:sz w:val="20"/>
          <w:szCs w:val="20"/>
        </w:rPr>
        <w:t xml:space="preserve"> § 1, przez zmniejszenie na korzyść takich pracowników faktycznych nierówności, w zakresie określonym w tym przepisie.</w:t>
      </w:r>
      <w:r>
        <w:rPr>
          <w:rFonts w:ascii="Roboto" w:hAnsi="Roboto" w:cs="Arial"/>
          <w:color w:val="333333"/>
          <w:sz w:val="20"/>
          <w:szCs w:val="20"/>
        </w:rPr>
        <w:br/>
      </w:r>
      <w:r>
        <w:rPr>
          <w:rFonts w:ascii="Roboto" w:hAnsi="Roboto" w:cs="Arial"/>
          <w:color w:val="333333"/>
          <w:sz w:val="20"/>
          <w:szCs w:val="20"/>
        </w:rPr>
        <w:br/>
        <w:t xml:space="preserve">§ 4. Różnicowanie pracowników ze względu na religię lub wyznanie nie stanowi naruszenia zasady równego traktowania w zatrudnieniu, jeżeli w związku z rodzajem i charakterem działalności prowadzonej w ramach kościołów i innych związków wyznaniowych, a także organizacji, których cel działania pozostaje w </w:t>
      </w:r>
      <w:r>
        <w:rPr>
          <w:rFonts w:ascii="Roboto" w:hAnsi="Roboto" w:cs="Arial"/>
          <w:color w:val="333333"/>
          <w:sz w:val="20"/>
          <w:szCs w:val="20"/>
        </w:rPr>
        <w:lastRenderedPageBreak/>
        <w:t>bezpośrednim związku z religią lub wyznaniem, religia lub wyznanie pracownika stanowi istotne, uzasadnione i usprawiedliwione wymaganie zawodowe.</w:t>
      </w:r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Art. 18</w:t>
      </w:r>
      <w:r>
        <w:rPr>
          <w:rStyle w:val="Pogrubienie"/>
          <w:rFonts w:ascii="Roboto" w:hAnsi="Roboto" w:cs="Arial"/>
          <w:color w:val="333333"/>
          <w:sz w:val="15"/>
          <w:szCs w:val="15"/>
          <w:vertAlign w:val="superscript"/>
        </w:rPr>
        <w:t>3c</w:t>
      </w:r>
      <w:r>
        <w:rPr>
          <w:rFonts w:ascii="Roboto" w:hAnsi="Roboto" w:cs="Arial"/>
          <w:b/>
          <w:bCs/>
          <w:color w:val="333333"/>
          <w:sz w:val="15"/>
          <w:szCs w:val="15"/>
          <w:vertAlign w:val="superscript"/>
        </w:rPr>
        <w:br/>
      </w:r>
      <w:r>
        <w:rPr>
          <w:rFonts w:ascii="Roboto" w:hAnsi="Roboto" w:cs="Arial"/>
          <w:color w:val="333333"/>
          <w:sz w:val="20"/>
          <w:szCs w:val="20"/>
        </w:rPr>
        <w:t>(prawo do jednakowego wynagrodzenia)</w:t>
      </w:r>
    </w:p>
    <w:p w:rsidR="00FC267A" w:rsidRDefault="00FC267A" w:rsidP="00055412">
      <w:pPr>
        <w:pStyle w:val="NormalnyWeb"/>
        <w:shd w:val="clear" w:color="auto" w:fill="FFFFFF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§ 1. Pracownicy mają prawo do jednakowego wynagrodzenia za jednakową pracę lub za pracę o jednakow</w:t>
      </w:r>
      <w:r w:rsidR="00055412">
        <w:rPr>
          <w:rFonts w:ascii="Roboto" w:hAnsi="Roboto" w:cs="Arial"/>
          <w:color w:val="333333"/>
          <w:sz w:val="20"/>
          <w:szCs w:val="20"/>
        </w:rPr>
        <w:t>ej wartości.</w:t>
      </w:r>
      <w:r>
        <w:rPr>
          <w:rFonts w:ascii="Roboto" w:hAnsi="Roboto" w:cs="Arial"/>
          <w:color w:val="333333"/>
          <w:sz w:val="20"/>
          <w:szCs w:val="20"/>
        </w:rPr>
        <w:br/>
        <w:t xml:space="preserve">§ 2. Wynagrodzenie, o którym mowa w § 1, obejmuje wszystkie składniki wynagrodzenia, </w:t>
      </w:r>
      <w:proofErr w:type="spellStart"/>
      <w:r>
        <w:rPr>
          <w:rFonts w:ascii="Roboto" w:hAnsi="Roboto" w:cs="Arial"/>
          <w:color w:val="333333"/>
          <w:sz w:val="20"/>
          <w:szCs w:val="20"/>
        </w:rPr>
        <w:t>bez</w:t>
      </w:r>
      <w:proofErr w:type="spellEnd"/>
      <w:r>
        <w:rPr>
          <w:rFonts w:ascii="Roboto" w:hAnsi="Roboto" w:cs="Arial"/>
          <w:color w:val="333333"/>
          <w:sz w:val="20"/>
          <w:szCs w:val="20"/>
        </w:rPr>
        <w:t xml:space="preserve"> względu na ich nazwę i charakter, a także inne świadczenia związane z pracą, przyznawane pracownikom w formie pieniężnej lub w innej formie niż pieniężna</w:t>
      </w:r>
      <w:r w:rsidR="00055412">
        <w:rPr>
          <w:rFonts w:ascii="Roboto" w:hAnsi="Roboto" w:cs="Arial"/>
          <w:color w:val="333333"/>
          <w:sz w:val="20"/>
          <w:szCs w:val="20"/>
        </w:rPr>
        <w:t>.</w:t>
      </w:r>
      <w:r>
        <w:rPr>
          <w:rFonts w:ascii="Roboto" w:hAnsi="Roboto" w:cs="Arial"/>
          <w:color w:val="333333"/>
          <w:sz w:val="20"/>
          <w:szCs w:val="20"/>
        </w:rPr>
        <w:br/>
        <w:t>§ 3.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  <w:r>
        <w:rPr>
          <w:rStyle w:val="Pogrubienie"/>
          <w:rFonts w:ascii="Roboto" w:hAnsi="Roboto" w:cs="Arial"/>
          <w:color w:val="333333"/>
          <w:sz w:val="20"/>
          <w:szCs w:val="20"/>
        </w:rPr>
        <w:t> </w:t>
      </w:r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Art. 18</w:t>
      </w:r>
      <w:r>
        <w:rPr>
          <w:rStyle w:val="Pogrubienie"/>
          <w:rFonts w:ascii="Roboto" w:hAnsi="Roboto" w:cs="Arial"/>
          <w:color w:val="333333"/>
          <w:sz w:val="15"/>
          <w:szCs w:val="15"/>
          <w:vertAlign w:val="superscript"/>
        </w:rPr>
        <w:t>3d</w:t>
      </w:r>
      <w:r>
        <w:rPr>
          <w:rFonts w:ascii="Roboto" w:hAnsi="Roboto" w:cs="Arial"/>
          <w:b/>
          <w:bCs/>
          <w:color w:val="333333"/>
          <w:sz w:val="15"/>
          <w:szCs w:val="15"/>
          <w:vertAlign w:val="superscript"/>
        </w:rPr>
        <w:br/>
      </w:r>
      <w:r>
        <w:rPr>
          <w:rFonts w:ascii="Roboto" w:hAnsi="Roboto" w:cs="Arial"/>
          <w:color w:val="333333"/>
          <w:sz w:val="20"/>
          <w:szCs w:val="20"/>
        </w:rPr>
        <w:t>(odszkodowanie za naruszenie zasady równego traktowania)</w:t>
      </w:r>
    </w:p>
    <w:p w:rsid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FC267A" w:rsidRDefault="00FC267A" w:rsidP="00FC267A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Art. 18</w:t>
      </w:r>
      <w:r>
        <w:rPr>
          <w:rStyle w:val="Pogrubienie"/>
          <w:rFonts w:ascii="Roboto" w:hAnsi="Roboto" w:cs="Arial"/>
          <w:color w:val="333333"/>
          <w:sz w:val="15"/>
          <w:szCs w:val="15"/>
          <w:vertAlign w:val="superscript"/>
        </w:rPr>
        <w:t>3e</w:t>
      </w:r>
      <w:r>
        <w:rPr>
          <w:rFonts w:ascii="Roboto" w:hAnsi="Roboto" w:cs="Arial"/>
          <w:b/>
          <w:bCs/>
          <w:color w:val="333333"/>
          <w:sz w:val="15"/>
          <w:szCs w:val="15"/>
          <w:vertAlign w:val="superscript"/>
        </w:rPr>
        <w:br/>
      </w:r>
      <w:r>
        <w:rPr>
          <w:rFonts w:ascii="Roboto" w:hAnsi="Roboto" w:cs="Arial"/>
          <w:color w:val="333333"/>
          <w:sz w:val="20"/>
          <w:szCs w:val="20"/>
        </w:rPr>
        <w:t>(uprawnienie z tytułu naruszenia zasady równego traktowania)</w:t>
      </w:r>
    </w:p>
    <w:p w:rsidR="00055412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>§ 1. 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</w:t>
      </w:r>
      <w:r w:rsidR="00055412">
        <w:rPr>
          <w:rFonts w:ascii="Roboto" w:hAnsi="Roboto" w:cs="Arial"/>
          <w:color w:val="333333"/>
          <w:sz w:val="20"/>
          <w:szCs w:val="20"/>
        </w:rPr>
        <w:t xml:space="preserve">ązanie </w:t>
      </w:r>
      <w:proofErr w:type="spellStart"/>
      <w:r w:rsidR="00055412">
        <w:rPr>
          <w:rFonts w:ascii="Roboto" w:hAnsi="Roboto" w:cs="Arial"/>
          <w:color w:val="333333"/>
          <w:sz w:val="20"/>
          <w:szCs w:val="20"/>
        </w:rPr>
        <w:t>bez</w:t>
      </w:r>
      <w:proofErr w:type="spellEnd"/>
      <w:r w:rsidR="00055412">
        <w:rPr>
          <w:rFonts w:ascii="Roboto" w:hAnsi="Roboto" w:cs="Arial"/>
          <w:color w:val="333333"/>
          <w:sz w:val="20"/>
          <w:szCs w:val="20"/>
        </w:rPr>
        <w:t xml:space="preserve"> wypowiedzenia.</w:t>
      </w:r>
      <w:r>
        <w:rPr>
          <w:rFonts w:ascii="Roboto" w:hAnsi="Roboto" w:cs="Arial"/>
          <w:color w:val="333333"/>
          <w:sz w:val="20"/>
          <w:szCs w:val="20"/>
        </w:rPr>
        <w:br/>
        <w:t xml:space="preserve">§ 2. Przepis § 1 stosuje się odpowiednio do pracownika, który udzielił w jakiejkolwiek formie wsparcia pracownikowi korzystającemu z uprawnień przysługujących z tytułu naruszenia zasady równego traktowania w zatrudnieniu.                             </w:t>
      </w:r>
    </w:p>
    <w:p w:rsidR="00055412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 xml:space="preserve">                                                                 </w:t>
      </w:r>
    </w:p>
    <w:p w:rsidR="00055412" w:rsidRPr="00055412" w:rsidRDefault="0029126C" w:rsidP="00FC267A">
      <w:pPr>
        <w:pStyle w:val="NormalnyWeb"/>
        <w:shd w:val="clear" w:color="auto" w:fill="FFFFFF"/>
        <w:jc w:val="both"/>
        <w:rPr>
          <w:rFonts w:ascii="Roboto" w:hAnsi="Roboto" w:cs="Arial"/>
          <w:b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   </w:t>
      </w:r>
      <w:r w:rsidR="00FC267A" w:rsidRPr="00055412">
        <w:rPr>
          <w:rFonts w:ascii="Roboto" w:hAnsi="Roboto" w:cs="Arial"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>POWYŻSZA</w:t>
      </w:r>
      <w:r w:rsidR="00055412">
        <w:rPr>
          <w:rFonts w:ascii="Roboto" w:hAnsi="Roboto" w:cs="Arial"/>
          <w:b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 xml:space="preserve"> INFORMACJA </w:t>
      </w:r>
      <w:r w:rsidR="00055412">
        <w:rPr>
          <w:rFonts w:ascii="Roboto" w:hAnsi="Roboto" w:cs="Arial"/>
          <w:b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 xml:space="preserve">STANOWI </w:t>
      </w:r>
      <w:r w:rsidR="00055412">
        <w:rPr>
          <w:rFonts w:ascii="Roboto" w:hAnsi="Roboto" w:cs="Arial"/>
          <w:b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 xml:space="preserve">WYPEŁNIENIE </w:t>
      </w:r>
      <w:r w:rsidR="00055412">
        <w:rPr>
          <w:rFonts w:ascii="Roboto" w:hAnsi="Roboto" w:cs="Arial"/>
          <w:b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>WYMOGÓW</w:t>
      </w:r>
      <w:r w:rsidR="00055412">
        <w:rPr>
          <w:rFonts w:ascii="Roboto" w:hAnsi="Roboto" w:cs="Arial"/>
          <w:b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 xml:space="preserve"> ART.</w:t>
      </w:r>
      <w:r w:rsidR="00055412" w:rsidRPr="00055412">
        <w:rPr>
          <w:rFonts w:ascii="Roboto" w:hAnsi="Roboto" w:cs="Arial" w:hint="eastAsia"/>
          <w:b/>
          <w:color w:val="333333"/>
          <w:sz w:val="18"/>
          <w:szCs w:val="18"/>
        </w:rPr>
        <w:t>.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 xml:space="preserve"> 94,1 </w:t>
      </w:r>
      <w:r w:rsidR="00055412">
        <w:rPr>
          <w:rFonts w:ascii="Roboto" w:hAnsi="Roboto" w:cs="Arial"/>
          <w:b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 xml:space="preserve">KODEKSU </w:t>
      </w:r>
      <w:r w:rsidR="00055412">
        <w:rPr>
          <w:rFonts w:ascii="Roboto" w:hAnsi="Roboto" w:cs="Arial"/>
          <w:b/>
          <w:color w:val="333333"/>
          <w:sz w:val="18"/>
          <w:szCs w:val="18"/>
        </w:rPr>
        <w:t xml:space="preserve"> </w:t>
      </w:r>
      <w:r w:rsidR="00055412" w:rsidRPr="00055412">
        <w:rPr>
          <w:rFonts w:ascii="Roboto" w:hAnsi="Roboto" w:cs="Arial"/>
          <w:b/>
          <w:color w:val="333333"/>
          <w:sz w:val="18"/>
          <w:szCs w:val="18"/>
        </w:rPr>
        <w:t>PRACY</w:t>
      </w:r>
      <w:r w:rsidR="00FC267A" w:rsidRPr="00055412">
        <w:rPr>
          <w:rFonts w:ascii="Roboto" w:hAnsi="Roboto" w:cs="Arial"/>
          <w:b/>
          <w:color w:val="333333"/>
          <w:sz w:val="18"/>
          <w:szCs w:val="18"/>
        </w:rPr>
        <w:t xml:space="preserve">     </w:t>
      </w:r>
    </w:p>
    <w:p w:rsid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 xml:space="preserve">                                                         </w:t>
      </w:r>
    </w:p>
    <w:p w:rsid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 xml:space="preserve">                                                                                 </w:t>
      </w:r>
      <w:r w:rsidR="00055412">
        <w:rPr>
          <w:rFonts w:ascii="Roboto" w:hAnsi="Roboto" w:cs="Arial"/>
          <w:color w:val="333333"/>
          <w:sz w:val="20"/>
          <w:szCs w:val="20"/>
        </w:rPr>
        <w:t xml:space="preserve">                                    </w:t>
      </w:r>
      <w:r>
        <w:rPr>
          <w:rFonts w:ascii="Roboto" w:hAnsi="Roboto" w:cs="Arial"/>
          <w:color w:val="333333"/>
          <w:sz w:val="20"/>
          <w:szCs w:val="20"/>
        </w:rPr>
        <w:t xml:space="preserve">      __________________________</w:t>
      </w:r>
    </w:p>
    <w:p w:rsid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  <w:r>
        <w:rPr>
          <w:rFonts w:ascii="Roboto" w:hAnsi="Roboto" w:cs="Arial"/>
          <w:color w:val="333333"/>
          <w:sz w:val="20"/>
          <w:szCs w:val="20"/>
        </w:rPr>
        <w:t xml:space="preserve">                                                                                           </w:t>
      </w:r>
      <w:r w:rsidR="00055412">
        <w:rPr>
          <w:rFonts w:ascii="Roboto" w:hAnsi="Roboto" w:cs="Arial"/>
          <w:color w:val="333333"/>
          <w:sz w:val="20"/>
          <w:szCs w:val="20"/>
        </w:rPr>
        <w:t xml:space="preserve">                             </w:t>
      </w:r>
      <w:r>
        <w:rPr>
          <w:rFonts w:ascii="Roboto" w:hAnsi="Roboto" w:cs="Arial"/>
          <w:color w:val="333333"/>
          <w:sz w:val="20"/>
          <w:szCs w:val="20"/>
        </w:rPr>
        <w:t xml:space="preserve">       (Podpis i pieczęć pracodawcy)</w:t>
      </w:r>
    </w:p>
    <w:p w:rsidR="00FC267A" w:rsidRDefault="00FC267A" w:rsidP="00FC267A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1909A4" w:rsidRDefault="001909A4"/>
    <w:sectPr w:rsidR="001909A4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67A"/>
    <w:rsid w:val="00055412"/>
    <w:rsid w:val="001909A4"/>
    <w:rsid w:val="0029126C"/>
    <w:rsid w:val="004E31F3"/>
    <w:rsid w:val="00A0694D"/>
    <w:rsid w:val="00BD505F"/>
    <w:rsid w:val="00F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26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267A"/>
    <w:pPr>
      <w:spacing w:after="150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76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06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311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69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50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77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66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1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2015-11-23T13:13:00Z</dcterms:created>
  <dcterms:modified xsi:type="dcterms:W3CDTF">2015-11-23T13:30:00Z</dcterms:modified>
</cp:coreProperties>
</file>